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ANTEPROJETO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1. Objeto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Constitui objeto do presente Anteprojeto a execução de obras de infraestrutura esportiva, compreendendo: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Implantação geral com estacionamento permeável;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Construção de quadra poliesportiva coberta com vestiários;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Construção de vestiário para piscina existente;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Construção de Guarita /Depósito de materiais para aulas de natação;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Reforma de Guarita de Acesso ao equipamento esportivo.</w:t>
      </w:r>
    </w:p>
    <w:p>
      <w:pPr>
        <w:pStyle w:val="ListParagraph"/>
        <w:spacing w:lineRule="exact" w:line="320" w:before="0" w:after="0"/>
        <w:ind w:left="1429"/>
        <w:contextualSpacing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2. Demonstração e justificativa do programa de necessidades, avaliação de demanda do público-alvo, motivação técnico-econômico-social do empreendimento, visão global dos investimentos e definições relacionadas ao nível de serviço desejado</w:t>
      </w:r>
    </w:p>
    <w:p>
      <w:pPr>
        <w:pStyle w:val="ListParagraph"/>
        <w:spacing w:lineRule="exact" w:line="320" w:before="0" w:after="0"/>
        <w:ind w:firstLine="709" w:left="720"/>
        <w:contextualSpacing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As instalações esportivas atuais do poliesportivo coberto encontram-se condenadas e interditadas, impossibilitando seu uso seguro pela população. Há demanda expressiva por equipamentos esportivos adequados, que atendam às exigências de acessibilidade, segurança e diversificação esportiva.</w:t>
      </w:r>
    </w:p>
    <w:p>
      <w:pPr>
        <w:pStyle w:val="Normal"/>
        <w:spacing w:lineRule="exact" w:line="320" w:before="0" w:after="0"/>
        <w:ind w:firstLine="709"/>
        <w:rPr/>
      </w:pPr>
      <w:r>
        <w:rPr/>
        <w:t>O investimento proposto contempla três frentes de ação: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Quadra poliesportiva coberta com vestiários, garantindo espaço para práticas oficiais de futsal, handebol e basquete, com infraestrutura de apoio adequada.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Vestiário e Guarita/Depósito para piscina existente, atendendo às condições de higiene, conforto e acessibilidade dos usuários.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Guarita de Acesso para controle e monitoramento do acesso ao local.</w:t>
      </w:r>
    </w:p>
    <w:p>
      <w:pPr>
        <w:pStyle w:val="ListParagraph"/>
        <w:spacing w:lineRule="exact" w:line="320" w:before="0" w:after="0"/>
        <w:ind w:left="1200"/>
        <w:contextualSpacing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  <w:t>As obras pretendidas reforçam a política pública de promoção à saúde, lazer e inclusão social, com impactos diretos na qualidade de vida da população.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3. Condições de solidez, de segurança e de durabilidade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As soluções projetadas seguem parâmetros técnicos de resistência, segurança e durabilidade, com emprego de materiais normatizados pela ABNT, destacando-se: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Estrutura mista (pilares de concreto e metálicos) e cobertura metálica para a quadra poliesportiva;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Piso esportivo em concreto polido com pintura epóxi;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Estruturas de alvenaria e concreto para os vestiários e guaritas;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Entorno com pavimentação e estacionamento lastreado.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  <w:t>Tais elementos garantem vida útil estendida, baixo custo de manutenção e conformidade com as normas técnicas (NBR 9050 – Acessibilidade, NBR 15575 – Desempenho, NBR 5410 – Instalações Elétricas).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4. Prazo de entrega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 xml:space="preserve">O prazo estimado para execução da obra é de até </w:t>
      </w:r>
      <w:r>
        <w:rPr>
          <w:b/>
          <w:bCs/>
        </w:rPr>
        <w:t>14 meses corridos</w:t>
      </w:r>
      <w:r>
        <w:rPr/>
        <w:t>, contados a partir da emissão da ordem de serviço, podendo ser ajustado conforme necessidade da obra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5. Estética do projeto arquitetônico, traçado geométrico e/ou projeto da área de influência, quando cabível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A concepção do complexo esportivo valoriza a funcionalidade e a integração com o entorno, assegurando: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Cobertura com estética simples e funcional;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Adequada inserção urbanística, mantendo acessos seguros e acessíveis;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Integração entre quadra coberta, piscina e estacionamento, configurando um espaço esportivo multifuncional.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6. Parâmetros de adequação ao interesse público, de economia na utilização, de facilidade na execução, de impacto ambiental e de acessibilidade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>
          <w:b/>
          <w:bCs/>
        </w:rPr>
        <w:t>Interesse público:</w:t>
      </w:r>
      <w:r>
        <w:rPr/>
        <w:t xml:space="preserve"> atendimento direto à comunidade em políticas de esporte e lazer.</w:t>
      </w:r>
    </w:p>
    <w:p>
      <w:pPr>
        <w:pStyle w:val="Normal"/>
        <w:spacing w:lineRule="exact" w:line="320" w:before="0" w:after="0"/>
        <w:ind w:firstLine="709"/>
        <w:rPr/>
      </w:pPr>
      <w:r>
        <w:rPr>
          <w:b/>
          <w:bCs/>
        </w:rPr>
        <w:t>Economia na utilização:</w:t>
      </w:r>
      <w:r>
        <w:rPr/>
        <w:t xml:space="preserve"> uso de materiais de baixa manutenção e longa durabilidade.</w:t>
      </w:r>
    </w:p>
    <w:p>
      <w:pPr>
        <w:pStyle w:val="Normal"/>
        <w:spacing w:lineRule="exact" w:line="320" w:before="0" w:after="0"/>
        <w:ind w:firstLine="709"/>
        <w:rPr/>
      </w:pPr>
      <w:r>
        <w:rPr>
          <w:b/>
          <w:bCs/>
        </w:rPr>
        <w:t>Facilidade de execução:</w:t>
      </w:r>
      <w:r>
        <w:rPr/>
        <w:t xml:space="preserve"> adoção de técnicas construtivas convencionais, disponíveis no mercado local.</w:t>
      </w:r>
    </w:p>
    <w:p>
      <w:pPr>
        <w:pStyle w:val="Normal"/>
        <w:spacing w:lineRule="exact" w:line="320" w:before="0" w:after="0"/>
        <w:ind w:firstLine="709"/>
        <w:rPr/>
      </w:pPr>
      <w:r>
        <w:rPr>
          <w:b/>
          <w:bCs/>
        </w:rPr>
        <w:t>Impacto ambiental</w:t>
      </w:r>
      <w:r>
        <w:rPr/>
        <w:t>: mínimo, restrito a resíduos e ruídos durante a obra.</w:t>
      </w:r>
    </w:p>
    <w:p>
      <w:pPr>
        <w:pStyle w:val="Normal"/>
        <w:spacing w:lineRule="exact" w:line="320" w:before="0" w:after="0"/>
        <w:ind w:firstLine="709"/>
        <w:rPr/>
      </w:pPr>
      <w:r>
        <w:rPr>
          <w:b/>
          <w:bCs/>
        </w:rPr>
        <w:t>Acessibilidade:</w:t>
      </w:r>
      <w:r>
        <w:rPr/>
        <w:t xml:space="preserve"> todas as edificações atenderão às diretrizes da NBR 9050.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7. Proposta de concepção da obra ou do serviço de engenharia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A concepção prevê: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  <w:t>Quadra poliesportiva coberta com quadra de dimensões oficiais (40m x 20m), arquibancada simples e vestiários anexos;</w:t>
      </w:r>
    </w:p>
    <w:p>
      <w:pPr>
        <w:pStyle w:val="Normal"/>
        <w:spacing w:lineRule="exact" w:line="320" w:before="0" w:after="0"/>
        <w:ind w:firstLine="709"/>
        <w:rPr/>
      </w:pPr>
      <w:r>
        <w:rPr/>
        <w:t>Piscina existente: Vestiários (Masculino, Feminino e PCD contendo sanitários, mictórios, chuveiros e lavatórios), Guarita/Depósito para monitoramento e apoio para as aulas de natação;</w:t>
      </w:r>
    </w:p>
    <w:p>
      <w:pPr>
        <w:pStyle w:val="Normal"/>
        <w:spacing w:lineRule="exact" w:line="320" w:before="0" w:after="0"/>
        <w:ind w:firstLine="709"/>
        <w:rPr/>
      </w:pPr>
      <w:r>
        <w:rPr/>
        <w:t>Guarita de acesso para controle dos usuários dos equipamentos esportivos.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8. Projetos anteriores ou estudos preliminares que embasaram a concepção proposta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O presente anteprojeto está fundamentado em levantamentos técnicos do local e em diretrizes do projeto básico elaborado pela Secretaria de Esportes, contemplando padrões oficiais das modalidades esportivas e normas de acessibilidade.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9. Levantamento topográfico e cadastral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O levantamento topográfico foi realizado de forma simplificada, considerando que a área já é consolidada como espaço esportivo, com delimitações conhecidas.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10. Pareceres de sondagem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Será necessário realizar a sondagem do local visto que o solo apresenta baixa capacidade de suporte de carga (motivo este que ocasionou o colapso do ginásio existente).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11. Memorial descritivo dos elementos da edificação, dos componentes construtivos e dos materiais de construção, de forma a estabelecer padrões mínimos para a contratação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O memorial descritivo consta anexo a este anteprojeto, prevendo: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Estrutura de concreto armado e estrutura metálica galvanizada para quadra;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iluminação esportiva para a quadra.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Piso em concreto polido com pintura epóxi e marcações oficiais;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Alvenaria de blocos cerâmicos ou de concreto para os vestiários;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Instalações elétricas e hidráulicas  e pluviais completas;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Instalações de prevenção e combate a incêndio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Instalações elétricas e SPDA;</w:t>
      </w:r>
    </w:p>
    <w:p>
      <w:pPr>
        <w:pStyle w:val="ListParagraph"/>
        <w:numPr>
          <w:ilvl w:val="0"/>
          <w:numId w:val="1"/>
        </w:numPr>
        <w:spacing w:lineRule="exact" w:line="320" w:before="0" w:after="0"/>
        <w:ind w:firstLine="774" w:left="426"/>
        <w:contextualSpacing/>
        <w:rPr/>
      </w:pPr>
      <w:r>
        <w:rPr/>
        <w:t>Entorno e estacionamento lastreado (permeável).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  <w:t>12. Orçamento sintético e cronograma físico-financeiro</w:t>
      </w:r>
    </w:p>
    <w:p>
      <w:pPr>
        <w:pStyle w:val="Normal"/>
        <w:spacing w:lineRule="exact" w:line="320" w:before="0" w:after="0"/>
        <w:ind w:firstLine="709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rPr/>
      </w:pPr>
      <w:r>
        <w:rPr/>
        <w:t>O orçamento sintético e o cronograma físico-financeiro constam anexos a este anteprojeto, elaborados com base em composições do SINAPI e referências de mercado, assegurando compatibilidade de custos e viabilidade da execução.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</w:r>
      <w:bookmarkStart w:id="0" w:name="_Hlk221884338"/>
      <w:bookmarkStart w:id="1" w:name="_Hlk221884338"/>
    </w:p>
    <w:p>
      <w:pPr>
        <w:pStyle w:val="Normal"/>
        <w:spacing w:lineRule="exact" w:line="320" w:before="0" w:after="0"/>
        <w:ind w:firstLine="709"/>
        <w:jc w:val="right"/>
        <w:rPr>
          <w:b/>
          <w:bCs/>
        </w:rPr>
      </w:pPr>
      <w:r>
        <w:rPr>
          <w:b/>
          <w:bCs/>
        </w:rPr>
        <w:t xml:space="preserve">São João da Boa Vista, </w:t>
      </w:r>
      <w:r>
        <w:rPr>
          <w:b/>
          <w:bCs/>
        </w:rPr>
        <w:t>02</w:t>
      </w:r>
      <w:r>
        <w:rPr>
          <w:b/>
          <w:bCs/>
        </w:rPr>
        <w:t xml:space="preserve"> de </w:t>
      </w:r>
      <w:r>
        <w:rPr>
          <w:b/>
          <w:bCs/>
        </w:rPr>
        <w:t>março</w:t>
      </w:r>
      <w:r>
        <w:rPr>
          <w:b/>
          <w:bCs/>
        </w:rPr>
        <w:t xml:space="preserve"> de 2026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rPr/>
      </w:pPr>
      <w:r>
        <w:rPr/>
      </w:r>
    </w:p>
    <w:p>
      <w:pPr>
        <w:pStyle w:val="Normal"/>
        <w:spacing w:lineRule="exact" w:line="320" w:before="0" w:after="0"/>
        <w:rPr/>
      </w:pPr>
      <w:r>
        <w:rPr/>
      </w:r>
    </w:p>
    <w:p>
      <w:pPr>
        <w:pStyle w:val="Normal"/>
        <w:spacing w:lineRule="exact" w:line="320" w:before="0" w:after="0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20" w:before="0" w:after="0"/>
        <w:jc w:val="center"/>
        <w:rPr/>
      </w:pPr>
      <w:r>
        <w:rPr/>
        <w:t>Peterson Garcia Zenun</w:t>
      </w:r>
    </w:p>
    <w:p>
      <w:pPr>
        <w:pStyle w:val="Normal"/>
        <w:spacing w:lineRule="exact" w:line="32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20" w:before="0" w:after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20" w:before="0" w:after="0"/>
        <w:jc w:val="center"/>
        <w:rPr/>
      </w:pPr>
      <w:r>
        <w:rPr/>
        <w:t>Júlio Luís de Almeida Lino</w:t>
      </w:r>
    </w:p>
    <w:p>
      <w:pPr>
        <w:pStyle w:val="Normal"/>
        <w:spacing w:lineRule="exact" w:line="32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20" w:before="0" w:after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20" w:before="0" w:after="0"/>
        <w:jc w:val="center"/>
        <w:rPr/>
      </w:pPr>
      <w:r>
        <w:rPr/>
        <w:t>Amarildo Duzi Moraes</w:t>
      </w:r>
    </w:p>
    <w:p>
      <w:pPr>
        <w:pStyle w:val="Normal"/>
        <w:spacing w:lineRule="exact" w:line="320" w:before="0" w:after="0"/>
        <w:jc w:val="center"/>
        <w:rPr/>
      </w:pPr>
      <w:r>
        <w:rPr/>
        <w:t>Diretor Departamento de Gestão e Planejamento Urbano</w:t>
      </w:r>
    </w:p>
    <w:p>
      <w:pPr>
        <w:pStyle w:val="Normal"/>
        <w:spacing w:lineRule="exact" w:line="320" w:before="0" w:after="0"/>
        <w:jc w:val="center"/>
        <w:rPr/>
      </w:pPr>
      <w:bookmarkStart w:id="2" w:name="_Hlk221884338"/>
      <w:r>
        <w:rPr/>
        <w:t>Prefeitura Municipal de São João da Boa Vista</w:t>
      </w:r>
      <w:bookmarkEnd w:id="2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-381000</wp:posOffset>
          </wp:positionH>
          <wp:positionV relativeFrom="paragraph">
            <wp:posOffset>-238125</wp:posOffset>
          </wp:positionV>
          <wp:extent cx="1080135" cy="1080135"/>
          <wp:effectExtent l="0" t="0" r="0" b="0"/>
          <wp:wrapSquare wrapText="right"/>
          <wp:docPr id="1" name="Figura1 Copia 1 Copia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 Copia 1 Copia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</w:rPr>
      <w:tab/>
      <w:t xml:space="preserve">          </w:t>
    </w:r>
    <w:r>
      <w:rPr>
        <w:rFonts w:ascii="Verdana" w:hAnsi="Verdana"/>
        <w:b/>
        <w:bCs/>
        <w:color w:val="818181"/>
        <w:sz w:val="32"/>
        <w:szCs w:val="32"/>
      </w:rPr>
      <w:t>Município de São João da Boa Vista</w:t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>
        <w:rFonts w:ascii="Verdana" w:hAnsi="Verdana"/>
        <w:color w:val="818181"/>
        <w:sz w:val="32"/>
        <w:szCs w:val="32"/>
      </w:rPr>
    </w:pPr>
    <w:r>
      <w:rPr>
        <w:rFonts w:ascii="Verdana" w:hAnsi="Verdana"/>
        <w:color w:val="818181"/>
        <w:sz w:val="32"/>
        <w:szCs w:val="32"/>
      </w:rPr>
      <w:tab/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rPr>
        <w:rFonts w:ascii="Verdana" w:hAnsi="Verdana"/>
        <w:color w:val="818181"/>
        <w:sz w:val="32"/>
        <w:szCs w:val="32"/>
      </w:rPr>
      <w:t xml:space="preserve">      </w:t>
    </w:r>
    <w:r>
      <w:rPr>
        <w:rFonts w:ascii="Verdana" w:hAnsi="Verdana"/>
        <w:color w:val="818181"/>
        <w:sz w:val="32"/>
        <w:szCs w:val="32"/>
      </w:rPr>
      <w:t>Departamento de Gestão e Planejamento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-381000</wp:posOffset>
          </wp:positionH>
          <wp:positionV relativeFrom="paragraph">
            <wp:posOffset>-238125</wp:posOffset>
          </wp:positionV>
          <wp:extent cx="1080135" cy="1080135"/>
          <wp:effectExtent l="0" t="0" r="0" b="0"/>
          <wp:wrapSquare wrapText="right"/>
          <wp:docPr id="2" name="Figura1 Copia 1 Copia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 Copia 1 Copia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</w:rPr>
      <w:tab/>
      <w:t xml:space="preserve">          </w:t>
    </w:r>
    <w:r>
      <w:rPr>
        <w:rFonts w:ascii="Verdana" w:hAnsi="Verdana"/>
        <w:b/>
        <w:bCs/>
        <w:color w:val="818181"/>
        <w:sz w:val="32"/>
        <w:szCs w:val="32"/>
      </w:rPr>
      <w:t>Município de São João da Boa Vista</w:t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>
        <w:rFonts w:ascii="Verdana" w:hAnsi="Verdana"/>
        <w:color w:val="818181"/>
        <w:sz w:val="32"/>
        <w:szCs w:val="32"/>
      </w:rPr>
    </w:pPr>
    <w:r>
      <w:rPr>
        <w:rFonts w:ascii="Verdana" w:hAnsi="Verdana"/>
        <w:color w:val="818181"/>
        <w:sz w:val="32"/>
        <w:szCs w:val="32"/>
      </w:rPr>
      <w:tab/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rPr>
        <w:rFonts w:ascii="Verdana" w:hAnsi="Verdana"/>
        <w:color w:val="818181"/>
        <w:sz w:val="32"/>
        <w:szCs w:val="32"/>
      </w:rPr>
      <w:t xml:space="preserve">      </w:t>
    </w:r>
    <w:r>
      <w:rPr>
        <w:rFonts w:ascii="Verdana" w:hAnsi="Verdana"/>
        <w:color w:val="818181"/>
        <w:sz w:val="32"/>
        <w:szCs w:val="32"/>
      </w:rPr>
      <w:t>Departamento de Gestão e Planejamento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db08c4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db08c4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db08c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db08c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db08c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db08c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db08c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db08c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db08c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db08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db08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db08c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db08c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db08c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b08c4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db08c4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b08c4"/>
    <w:rPr>
      <w:b/>
      <w:bCs/>
      <w:smallCaps/>
      <w:color w:themeColor="accent1" w:themeShade="bf" w:val="2F5496"/>
      <w:spacing w:val="5"/>
    </w:rPr>
  </w:style>
  <w:style w:type="character" w:styleId="CabealhoChar" w:customStyle="1">
    <w:name w:val="Cabeçalho Char"/>
    <w:basedOn w:val="DefaultParagraphFont"/>
    <w:uiPriority w:val="99"/>
    <w:qFormat/>
    <w:rsid w:val="0014394a"/>
    <w:rPr/>
  </w:style>
  <w:style w:type="character" w:styleId="RodapChar" w:customStyle="1">
    <w:name w:val="Rodapé Char"/>
    <w:basedOn w:val="DefaultParagraphFont"/>
    <w:uiPriority w:val="99"/>
    <w:qFormat/>
    <w:rsid w:val="0014394a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tuloChar"/>
    <w:uiPriority w:val="10"/>
    <w:qFormat/>
    <w:rsid w:val="00db08c4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db08c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db08c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b08c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db08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14394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14394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LibreOffice/25.2.7.2$Windows_X86_64 LibreOffice_project/5cbfd1ab6520636bb5f7b99185aa69bd7456825d</Application>
  <AppVersion>15.0000</AppVersion>
  <Pages>4</Pages>
  <Words>833</Words>
  <Characters>5201</Characters>
  <CharactersWithSpaces>5960</CharactersWithSpaces>
  <Paragraphs>74</Paragraphs>
  <Company>PerkedleApps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2025-07-03T12:54:00Z</dcterms:created>
  <dc:creator>Peterson Garcia Zenun</dc:creator>
  <dc:description/>
  <dc:language>pt-BR</dc:language>
  <cp:lastModifiedBy>Thiago Mistura</cp:lastModifiedBy>
  <cp:lastPrinted>2026-03-02T13:29:03Z</cp:lastPrinted>
  <dcterms:modified xsi:type="dcterms:W3CDTF">2026-03-02T13:35:42Z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